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41" w:rsidRPr="00BB4943" w:rsidRDefault="00FD2941" w:rsidP="00FD2941">
      <w:pPr>
        <w:adjustRightInd/>
        <w:snapToGrid/>
        <w:spacing w:after="0"/>
        <w:rPr>
          <w:rFonts w:asciiTheme="minorEastAsia" w:eastAsiaTheme="minorEastAsia" w:hAnsiTheme="minorEastAsia"/>
          <w:b/>
          <w:sz w:val="24"/>
          <w:szCs w:val="24"/>
        </w:rPr>
      </w:pPr>
      <w:r w:rsidRPr="00BB4943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Pr="00BB4943">
        <w:rPr>
          <w:rFonts w:asciiTheme="minorEastAsia" w:eastAsiaTheme="minorEastAsia" w:hAnsiTheme="minorEastAsia"/>
          <w:b/>
          <w:sz w:val="24"/>
          <w:szCs w:val="24"/>
        </w:rPr>
        <w:t>2</w:t>
      </w:r>
    </w:p>
    <w:p w:rsidR="00FD2941" w:rsidRPr="00710DC1" w:rsidRDefault="00FD2941" w:rsidP="00FD2941">
      <w:pPr>
        <w:spacing w:after="0"/>
        <w:jc w:val="center"/>
        <w:rPr>
          <w:rFonts w:ascii="黑体" w:eastAsia="黑体" w:hAnsi="黑体" w:cs="黑体"/>
          <w:b/>
          <w:sz w:val="24"/>
          <w:szCs w:val="24"/>
        </w:rPr>
      </w:pPr>
      <w:r w:rsidRPr="00710DC1">
        <w:rPr>
          <w:rFonts w:ascii="黑体" w:eastAsia="黑体" w:hAnsi="黑体" w:cs="黑体" w:hint="eastAsia"/>
          <w:b/>
          <w:sz w:val="24"/>
          <w:szCs w:val="24"/>
        </w:rPr>
        <w:t>常州大学本科课程评估指标体系</w:t>
      </w:r>
    </w:p>
    <w:tbl>
      <w:tblPr>
        <w:tblpPr w:leftFromText="180" w:rightFromText="180" w:vertAnchor="text" w:horzAnchor="margin" w:tblpY="166"/>
        <w:tblW w:w="5000" w:type="pct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2511"/>
        <w:gridCol w:w="5440"/>
        <w:gridCol w:w="4915"/>
      </w:tblGrid>
      <w:tr w:rsidR="00FD2941" w:rsidTr="00FD2941">
        <w:trPr>
          <w:cantSplit/>
          <w:trHeight w:val="270"/>
        </w:trPr>
        <w:tc>
          <w:tcPr>
            <w:tcW w:w="388" w:type="pct"/>
            <w:vMerge w:val="restart"/>
            <w:vAlign w:val="center"/>
          </w:tcPr>
          <w:p w:rsidR="00FD2941" w:rsidRPr="00BD2A9A" w:rsidRDefault="00FD2941" w:rsidP="00E737E9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一级指标</w:t>
            </w:r>
          </w:p>
        </w:tc>
        <w:tc>
          <w:tcPr>
            <w:tcW w:w="900" w:type="pct"/>
            <w:vMerge w:val="restart"/>
            <w:vAlign w:val="center"/>
          </w:tcPr>
          <w:p w:rsidR="00FD2941" w:rsidRDefault="00FD2941" w:rsidP="00E737E9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>二级指标</w:t>
            </w:r>
          </w:p>
        </w:tc>
        <w:tc>
          <w:tcPr>
            <w:tcW w:w="3712" w:type="pct"/>
            <w:gridSpan w:val="2"/>
            <w:vAlign w:val="center"/>
          </w:tcPr>
          <w:p w:rsidR="00FD2941" w:rsidRDefault="00FD2941" w:rsidP="00E737E9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>评分标准</w:t>
            </w:r>
          </w:p>
        </w:tc>
      </w:tr>
      <w:tr w:rsidR="00FD2941" w:rsidTr="00FD2941">
        <w:trPr>
          <w:cantSplit/>
          <w:trHeight w:val="270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00" w:type="pct"/>
            <w:vMerge/>
            <w:vAlign w:val="center"/>
          </w:tcPr>
          <w:p w:rsidR="00FD2941" w:rsidRDefault="00FD2941" w:rsidP="00E737E9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>A</w:t>
            </w:r>
          </w:p>
        </w:tc>
        <w:tc>
          <w:tcPr>
            <w:tcW w:w="1762" w:type="pct"/>
          </w:tcPr>
          <w:p w:rsidR="00FD2941" w:rsidRDefault="00FD2941" w:rsidP="00E737E9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>C</w:t>
            </w:r>
          </w:p>
        </w:tc>
      </w:tr>
      <w:tr w:rsidR="00FD2941" w:rsidTr="00FD2941">
        <w:trPr>
          <w:cantSplit/>
          <w:trHeight w:val="687"/>
        </w:trPr>
        <w:tc>
          <w:tcPr>
            <w:tcW w:w="388" w:type="pct"/>
            <w:vMerge w:val="restar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课程目标与内容评价</w:t>
            </w:r>
          </w:p>
          <w:p w:rsidR="00FD2941" w:rsidRDefault="00FD2941" w:rsidP="00E737E9">
            <w:pPr>
              <w:spacing w:after="0"/>
              <w:ind w:firstLineChars="100" w:firstLine="21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Pr="00BD2A9A" w:rsidRDefault="00FD2941" w:rsidP="00FD2941">
            <w:pPr>
              <w:pStyle w:val="a7"/>
              <w:numPr>
                <w:ilvl w:val="1"/>
                <w:numId w:val="1"/>
              </w:numPr>
              <w:autoSpaceDE w:val="0"/>
              <w:autoSpaceDN w:val="0"/>
              <w:spacing w:after="0"/>
              <w:ind w:firstLineChars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BD2A9A">
              <w:rPr>
                <w:rFonts w:ascii="Times New Roman" w:eastAsia="仿宋" w:hAnsi="Times New Roman" w:cs="Times New Roman"/>
                <w:sz w:val="21"/>
                <w:szCs w:val="21"/>
              </w:rPr>
              <w:t>课程目标定位</w:t>
            </w:r>
          </w:p>
          <w:p w:rsidR="00FD2941" w:rsidRPr="0050688E" w:rsidRDefault="00FD2941" w:rsidP="00E737E9">
            <w:pPr>
              <w:autoSpaceDE w:val="0"/>
              <w:autoSpaceDN w:val="0"/>
              <w:spacing w:after="0"/>
              <w:ind w:firstLineChars="250" w:firstLine="525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课程目标以培养学生能力为主线，教学理念先进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定位准确，面向产出的任务明确，有力支撑专业人才培养目标与毕业要求，内容系统规范，包含多维度深层次课程教学目标，注意涵盖知识、能力、素养、人格与价值观等多个维度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及知道、领会、应用、分析、综合、评价等不同层次（可参考布鲁姆教学目标分类）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目标是可测量的，能够使学生了解到课程希望他们具体能做到什么。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课程定位比较准确，任务比较明确，内容全面、规范。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课程目标基本契合专业人才培养目标与毕业要求。</w:t>
            </w:r>
          </w:p>
        </w:tc>
      </w:tr>
      <w:tr w:rsidR="00FD2941" w:rsidTr="00FD2941">
        <w:trPr>
          <w:cantSplit/>
          <w:trHeight w:val="709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pStyle w:val="a7"/>
              <w:autoSpaceDE w:val="0"/>
              <w:autoSpaceDN w:val="0"/>
              <w:spacing w:after="0"/>
              <w:ind w:firstLineChars="0" w:firstLine="0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1.2 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 xml:space="preserve"> </w:t>
            </w:r>
            <w:r w:rsidRPr="0050688E"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课程目标达成情况</w:t>
            </w:r>
            <w:r w:rsidRPr="0050688E"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    </w:t>
            </w:r>
          </w:p>
          <w:p w:rsidR="00FD2941" w:rsidRPr="0050688E" w:rsidRDefault="00FD2941" w:rsidP="00E737E9">
            <w:pPr>
              <w:pStyle w:val="a7"/>
              <w:autoSpaceDE w:val="0"/>
              <w:autoSpaceDN w:val="0"/>
              <w:spacing w:after="0"/>
              <w:ind w:left="375" w:firstLineChars="50" w:firstLine="105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课程教学目标达成度高。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（应着重于可测量的达成评价，从检测或观察学生“能力指标”的证据中进行判断。注：不能只基于间接评价，可采用三角验证法。）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课程教学目标达成度较高。</w:t>
            </w:r>
          </w:p>
        </w:tc>
      </w:tr>
      <w:tr w:rsidR="00FD2941" w:rsidTr="00FD2941">
        <w:trPr>
          <w:cantSplit/>
          <w:trHeight w:val="717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1.3  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教学</w:t>
            </w: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>内容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高阶性、创新性和挑战度</w:t>
            </w: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 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ind w:firstLineChars="200" w:firstLine="422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课程教学内容与课程教学目标对应性好，深度广度适当，能够反映相关学科领域最新发展。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教学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增加研究性、创新性、综合性内容，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体现知识、能力、素质有机融合，注重培养学生解决复杂问题的综合能力和高阶思维。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课程教学内容与课程教学目标能够对应，深度广度比较适当，相关学科领域最新发展有所涉及。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教学内容基本体现知识、能力、素质有机融合。</w:t>
            </w:r>
          </w:p>
        </w:tc>
      </w:tr>
      <w:tr w:rsidR="00FD2941" w:rsidTr="00FD2941">
        <w:trPr>
          <w:cantSplit/>
          <w:trHeight w:val="556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1.4  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课程思政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ind w:firstLineChars="200" w:firstLine="42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课程内容坚持知识传授与价值引领相统一、显性教育与隐性教育相统一，充分发掘课程和教学方式中蕴含的思想政治教育资源。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课程内容能够发掘其中蕴含的思想政治教育资源。</w:t>
            </w:r>
          </w:p>
        </w:tc>
      </w:tr>
      <w:tr w:rsidR="00FD2941" w:rsidTr="00FD2941">
        <w:trPr>
          <w:cantSplit/>
          <w:trHeight w:val="392"/>
        </w:trPr>
        <w:tc>
          <w:tcPr>
            <w:tcW w:w="388" w:type="pct"/>
            <w:vMerge w:val="restar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课程考核与试卷评价</w:t>
            </w:r>
          </w:p>
          <w:p w:rsidR="00FD2941" w:rsidRDefault="00FD2941" w:rsidP="00E737E9">
            <w:pPr>
              <w:spacing w:after="0"/>
              <w:ind w:firstLineChars="100" w:firstLine="21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2.1  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课程考核制度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 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ind w:firstLineChars="250" w:firstLine="525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课程考核建立了过程性考核与结果性考核有机结合的学业考评制度，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并以激发学习动力和专业志趣为着力点完善过程评价制度。加强对学生课堂内外、线上线下学习的评价，强化阅读量和阅读能力考查，提升课程学习的广度。丰富探究式、论文式、报告答辩式等作业评价方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lastRenderedPageBreak/>
              <w:t>式，提升课程学习的深度。加强非标准化、综合性等评价，提升课程学习的挑战性。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考核内容及方式与学生能力表现有高度相关性，考试能有效地考核学生相关能力。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lastRenderedPageBreak/>
              <w:t>课程考核建立了适当的学业考评制度，考试能够采取较为灵活的形式，过程考核比重较为合理。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考核内容及方式与学生能力表现有一定的相关性，考试能较有效地考核学生相关能力。</w:t>
            </w:r>
          </w:p>
        </w:tc>
      </w:tr>
      <w:tr w:rsidR="00FD2941" w:rsidTr="00FD2941">
        <w:trPr>
          <w:cantSplit/>
          <w:trHeight w:val="392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2.2  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试卷综合评价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  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ind w:firstLineChars="250" w:firstLine="527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试卷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命题符合课程目标考核要求；试题注重学生能力的考查；严格执行学校试卷审批制度，课程考核资料规范、齐全。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建立试题（卷）库，题型全面，题量充足。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命题规范，基本符合课程目标要求；试卷、参考答案、评分标准无错误；评分过程规范、合理，评分基本准确；执行学校试卷审批制度，课程考核资料完整。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已建立试题（卷）库，试题（卷）库有一定种类的题型和较多数量的试题。</w:t>
            </w:r>
          </w:p>
        </w:tc>
      </w:tr>
      <w:tr w:rsidR="00FD2941" w:rsidTr="00FD2941">
        <w:trPr>
          <w:cantSplit/>
          <w:trHeight w:val="392"/>
        </w:trPr>
        <w:tc>
          <w:tcPr>
            <w:tcW w:w="388" w:type="pct"/>
            <w:vMerge w:val="restar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课程资源与支持条件评价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 </w:t>
            </w: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3.1  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课程师资团队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       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课程负责人具有正高级职称。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学科研成果丰富，能有效组织开展教学研究与改革，在青年教师培养、团队建设中发挥积极带头作用。基层教学组织建设情况。（教师全员纳入基层教学组织，强化教学研究，定期集体备课、研讨课程设计，加强教学梯队建设，完善助教制度，发挥好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传帮带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作用。）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团队教师师德高尚，严谨治学，注重充分挖掘教学内容中的德育素材，体现立德树人、教书育人；学生对师德师风评价高。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jc w:val="bot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课程负责人具有中级职称，且具有博士学位。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jc w:val="bot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有一定教学科研成果。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jc w:val="bot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团队教师重视教书育人，遵守学校规章制度，近三年无教学事故；学生对师德师风评价较好。</w:t>
            </w:r>
          </w:p>
        </w:tc>
      </w:tr>
      <w:tr w:rsidR="00FD2941" w:rsidTr="00FD2941">
        <w:trPr>
          <w:cantSplit/>
          <w:trHeight w:val="723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3.2  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“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互联网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+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教育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”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的网络教学资源建设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 xml:space="preserve">      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建立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智慧课堂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，课程网络教学资源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电子教案、课件、教学大纲、实验指导、自主学习、视频录像、拓展资源、题库等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建设完备，并能经常保持更新。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强化现代信息技术与教育教学深度融合，使用可视化、多媒体的资源展示内容并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在教学中发挥较大作用，学生利用率高、反映良好。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使用技术工具辅助学习活动的开展，创造性的方式使用技术，超越以传统的、教师为中心教学的模式应用技术（将多样化的媒介工具整合进课程中，尝试使用低成本或无成本的资源）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课程网络教学资源建设已初具规模，基本具备学生自学、教师备课、师生互动等三项功能。</w:t>
            </w:r>
          </w:p>
        </w:tc>
      </w:tr>
      <w:tr w:rsidR="00FD2941" w:rsidTr="00FD2941">
        <w:trPr>
          <w:cantSplit/>
          <w:trHeight w:val="392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3.3  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课内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课外学习资源及学习支持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        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教材内容符合课程教学大纲要求，学生反映好。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按要求选用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马工程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教材；选用国家及省部级获奖优秀教材、国家或省部级规划教材、国家或省部级精品教材、国外引进的优秀教材、近三年出版的新教材。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主编或参编全国规划教材（及其他教材项目），并获得国家及省部级奖。（编写云教材）。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提供丰富且有效的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线上、线下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课外学习资源，并指导学生如何高效获取并使用学习资源。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选用同行公认的优秀教材。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教材内容基本符合课程教学大纲要求，学生反映较好。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主编或参编教材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提供课外学习资源。</w:t>
            </w:r>
          </w:p>
        </w:tc>
      </w:tr>
      <w:tr w:rsidR="00FD2941" w:rsidTr="00FD2941">
        <w:trPr>
          <w:cantSplit/>
          <w:trHeight w:val="392"/>
        </w:trPr>
        <w:tc>
          <w:tcPr>
            <w:tcW w:w="388" w:type="pct"/>
            <w:vMerge w:val="restar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lastRenderedPageBreak/>
              <w:t>4.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课程教学过程与改革成效评价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</w:t>
            </w: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4.1  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教学设计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          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有科学完备的教案、课程计划表、教学大纲等教学资料。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教学大纲能充分体现课程教学目标要求。（要查内涵，是否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体现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OBE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理念）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融入创新教育理念，教学各环节设计注重学生创新意识与能力培养。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内容科学系统、重点难点突出，进度安排得当。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课程教学大纲执行情况好。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教学资料基本完整。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课程教学大纲能基本充分体现课程教学目标要求。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教学各环节项目较完整，内容要求较明确，重点难点较突出，进度安排比较得当。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课程教学大纲得到基本执行。</w:t>
            </w:r>
          </w:p>
        </w:tc>
      </w:tr>
      <w:tr w:rsidR="00FD2941" w:rsidTr="00FD2941">
        <w:trPr>
          <w:cantSplit/>
          <w:trHeight w:val="291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4.2  </w:t>
            </w:r>
            <w:r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教学方法与手段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1"/>
                <w:szCs w:val="21"/>
              </w:rPr>
              <w:t xml:space="preserve">          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合理运用讨论式、探究式、案例式、混合式、翻转课堂、线上线下混合、虚拟仿真等教学方法，能有效促进学生积极思考、主动探索问题的答案、掌握解决问题的思路、方法、规律，很好地达到培养学生能力的教学目的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关于教学策略如何帮助学生达到课程目标有清晰的说明，提供学习指导帮助学生了解有效的学习方式，设计有锻炼学生高阶思维能力（例如，分析、解决问题、批判性反思等）的活动，并提供学习示范样例，提供个性化的指导、学习困难学生的帮扶活动、高水平学生的拓展资源等。</w:t>
            </w:r>
          </w:p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线上、线下环境中师生、生生之间的交互与协作良好。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注重学生思维方法与能力培养，体现因材施教。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有适当的教学策略设计。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有师生互动交流。</w:t>
            </w:r>
          </w:p>
        </w:tc>
      </w:tr>
      <w:tr w:rsidR="00FD2941" w:rsidTr="00FD2941">
        <w:trPr>
          <w:cantSplit/>
          <w:trHeight w:val="316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4.3  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课程教学改革成效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       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团队成员近两届获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项与本课程有关的省部级二等及以上教学成果奖或教学竞赛奖。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lastRenderedPageBreak/>
              <w:t>近三年至少主持并完成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项与本课程有关的省部级及以上教研立项项目。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课程教师指导学生参加与课程相关的学科竞赛获奖（按常州大学竞赛管理办法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instrText xml:space="preserve"> </w:instrTex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instrText>= 1 \* ROMAN</w:instrTex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instrText xml:space="preserve"> </w:instrTex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I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级）。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课程建设为省级以上（含）优质课程。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建成线下、线上、线上线下混合、虚拟仿真和社会实践等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金课。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”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课程改革创新在国内同类院校、省内同类高校和本校具有示范效应和推广价值。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lastRenderedPageBreak/>
              <w:t>团队成员近两届获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项与本课程有关的校级二等教学成果奖或教学竞赛奖。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lastRenderedPageBreak/>
              <w:t>近三年至少主持并完成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项与本课程有关的校级教研立项项目。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近三年至少公开发表教研论文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篇。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课程教师指导学生参加与课程相关的学科竞赛获奖（按常州大学竞赛管理办法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instrText xml:space="preserve"> </w:instrTex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instrText>= 3 \* ROMAN</w:instrTex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instrText xml:space="preserve"> </w:instrTex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III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级）。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课程建设为校级优质课程。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着手建设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金课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。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课程改革有一定的思路和举措，取得了较好的效果。</w:t>
            </w:r>
          </w:p>
        </w:tc>
      </w:tr>
      <w:tr w:rsidR="00FD2941" w:rsidTr="00FD2941">
        <w:trPr>
          <w:cantSplit/>
          <w:trHeight w:val="406"/>
        </w:trPr>
        <w:tc>
          <w:tcPr>
            <w:tcW w:w="388" w:type="pct"/>
            <w:vMerge w:val="restar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lastRenderedPageBreak/>
              <w:t>5.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持续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改进评价</w:t>
            </w:r>
          </w:p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   </w:t>
            </w: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tabs>
                <w:tab w:val="left" w:pos="312"/>
              </w:tabs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1"/>
                <w:szCs w:val="21"/>
              </w:rPr>
              <w:t xml:space="preserve">5.1  </w:t>
            </w:r>
            <w:r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  <w:t>质量自我评价机制及持续改进措施与效果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建立起有效的持续改进机制，保证课程教学质量提升显著。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建立有持续改进机制，课程教学质量提升有一定成效。</w:t>
            </w:r>
          </w:p>
        </w:tc>
      </w:tr>
      <w:tr w:rsidR="00FD2941" w:rsidTr="00FD2941">
        <w:trPr>
          <w:cantSplit/>
          <w:trHeight w:val="515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tabs>
                <w:tab w:val="left" w:pos="312"/>
              </w:tabs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5.2  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学生学习成效评价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评价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优秀，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该课程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的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评价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成绩在全校排名前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1/3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该课程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的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评价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成绩在全校排名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前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1/2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至前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2/3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。</w:t>
            </w:r>
          </w:p>
        </w:tc>
      </w:tr>
      <w:tr w:rsidR="00FD2941" w:rsidTr="00FD2941">
        <w:trPr>
          <w:cantSplit/>
          <w:trHeight w:val="549"/>
        </w:trPr>
        <w:tc>
          <w:tcPr>
            <w:tcW w:w="388" w:type="pct"/>
            <w:vMerge/>
            <w:vAlign w:val="center"/>
          </w:tcPr>
          <w:p w:rsidR="00FD2941" w:rsidRDefault="00FD2941" w:rsidP="00E737E9">
            <w:pPr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 xml:space="preserve">5.3  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专家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同行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评价</w:t>
            </w:r>
          </w:p>
        </w:tc>
        <w:tc>
          <w:tcPr>
            <w:tcW w:w="1950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评价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优秀，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该课程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的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评价成绩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在全校排名前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1/3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762" w:type="pct"/>
            <w:vAlign w:val="center"/>
          </w:tcPr>
          <w:p w:rsidR="00FD2941" w:rsidRDefault="00FD2941" w:rsidP="00E737E9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该课程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的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评价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成绩在全校排名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前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1/2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至前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2/3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。</w:t>
            </w:r>
          </w:p>
        </w:tc>
      </w:tr>
    </w:tbl>
    <w:p w:rsidR="00FD2941" w:rsidRPr="00E74274" w:rsidRDefault="00FD2941" w:rsidP="00FD2941">
      <w:pPr>
        <w:spacing w:after="0" w:line="360" w:lineRule="auto"/>
        <w:rPr>
          <w:rFonts w:ascii="仿宋" w:eastAsia="仿宋" w:hAnsi="仿宋"/>
          <w:sz w:val="24"/>
          <w:szCs w:val="24"/>
        </w:rPr>
      </w:pPr>
    </w:p>
    <w:p w:rsidR="00973708" w:rsidRDefault="00C93F9F">
      <w:r>
        <w:rPr>
          <w:rFonts w:hint="eastAsia"/>
        </w:rPr>
        <w:t>说明：</w:t>
      </w:r>
    </w:p>
    <w:p w:rsidR="00C93F9F" w:rsidRDefault="00C93F9F" w:rsidP="00C93F9F">
      <w:pPr>
        <w:spacing w:after="0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二级指标的评估等级分为A、B、C、D四级，评分标准给出A、C两级，介于A、C级之间的为B级，低于C级的为D级。</w:t>
      </w:r>
    </w:p>
    <w:p w:rsidR="00C93F9F" w:rsidRPr="00C93F9F" w:rsidRDefault="00C93F9F">
      <w:pPr>
        <w:rPr>
          <w:rFonts w:hint="eastAsia"/>
        </w:rPr>
      </w:pPr>
      <w:bookmarkStart w:id="0" w:name="_GoBack"/>
      <w:bookmarkEnd w:id="0"/>
    </w:p>
    <w:sectPr w:rsidR="00C93F9F" w:rsidRPr="00C93F9F" w:rsidSect="003A7AA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61" w:rsidRDefault="000A3061" w:rsidP="00FD2941">
      <w:pPr>
        <w:spacing w:after="0"/>
      </w:pPr>
      <w:r>
        <w:separator/>
      </w:r>
    </w:p>
  </w:endnote>
  <w:endnote w:type="continuationSeparator" w:id="0">
    <w:p w:rsidR="000A3061" w:rsidRDefault="000A3061" w:rsidP="00FD29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61" w:rsidRDefault="000A3061" w:rsidP="00FD2941">
      <w:pPr>
        <w:spacing w:after="0"/>
      </w:pPr>
      <w:r>
        <w:separator/>
      </w:r>
    </w:p>
  </w:footnote>
  <w:footnote w:type="continuationSeparator" w:id="0">
    <w:p w:rsidR="000A3061" w:rsidRDefault="000A3061" w:rsidP="00FD29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B04E9"/>
    <w:multiLevelType w:val="multilevel"/>
    <w:tmpl w:val="216225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9F"/>
    <w:rsid w:val="000A3061"/>
    <w:rsid w:val="004A729F"/>
    <w:rsid w:val="00710DC1"/>
    <w:rsid w:val="00973708"/>
    <w:rsid w:val="00B250D2"/>
    <w:rsid w:val="00C93F9F"/>
    <w:rsid w:val="00F14435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4E6B4"/>
  <w15:chartTrackingRefBased/>
  <w15:docId w15:val="{945EC5AA-95E0-4874-889E-97471DB3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4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9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9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941"/>
    <w:rPr>
      <w:sz w:val="18"/>
      <w:szCs w:val="18"/>
    </w:rPr>
  </w:style>
  <w:style w:type="paragraph" w:styleId="a7">
    <w:name w:val="List Paragraph"/>
    <w:basedOn w:val="a"/>
    <w:uiPriority w:val="99"/>
    <w:rsid w:val="00FD2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user</cp:lastModifiedBy>
  <cp:revision>4</cp:revision>
  <dcterms:created xsi:type="dcterms:W3CDTF">2020-05-07T02:07:00Z</dcterms:created>
  <dcterms:modified xsi:type="dcterms:W3CDTF">2020-11-03T06:42:00Z</dcterms:modified>
</cp:coreProperties>
</file>